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8"/>
        <w:jc w:val="right"/>
        <w:spacing w:line="240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18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к тарифному соглашению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в сфере обязательного медицинского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страхования на территории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right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от 26 марта 2026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0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0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ВЫЗОВА НА ОПЛАТУ СКОРОЙ МЕДИЦИНСКОЙ ПОМОЩИ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Таблица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right"/>
      </w:pPr>
      <w:r>
        <w:rPr>
          <w:sz w:val="28"/>
          <w:szCs w:val="28"/>
        </w:rPr>
        <w:t xml:space="preserve">(рублей</w:t>
      </w:r>
      <w:r>
        <w:t xml:space="preserve">)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2098"/>
        <w:gridCol w:w="5317"/>
        <w:gridCol w:w="2188"/>
      </w:tblGrid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№ стр.</w:t>
            </w:r>
            <w:r/>
          </w:p>
        </w:tc>
        <w:tc>
          <w:tcPr>
            <w:tcW w:w="2098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Код услуги в системе ОМС</w:t>
            </w:r>
            <w:r/>
          </w:p>
        </w:tc>
        <w:tc>
          <w:tcPr>
            <w:tcW w:w="5317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Состав и профиль бригады скорой медицинской помощи, повод к вызову или его результат</w:t>
            </w:r>
            <w:r/>
          </w:p>
        </w:tc>
        <w:tc>
          <w:tcPr>
            <w:tcW w:w="2188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Тариф вызова скорой медицинской помощи</w:t>
            </w:r>
            <w:r/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888"/>
            </w:pPr>
            <w:r/>
            <w:r/>
          </w:p>
        </w:tc>
        <w:tc>
          <w:tcPr>
            <w:tcW w:w="2098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1</w:t>
            </w:r>
            <w:r/>
          </w:p>
        </w:tc>
        <w:tc>
          <w:tcPr>
            <w:tcW w:w="5317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2</w:t>
            </w:r>
            <w:r/>
          </w:p>
        </w:tc>
        <w:tc>
          <w:tcPr>
            <w:tcW w:w="2188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3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/>
            <w:r/>
          </w:p>
        </w:tc>
        <w:tc>
          <w:tcPr>
            <w:tcW w:w="5317" w:type="dxa"/>
            <w:textDirection w:val="lrTb"/>
            <w:noWrap w:val="false"/>
          </w:tcPr>
          <w:p>
            <w:pPr>
              <w:pStyle w:val="888"/>
              <w:rPr>
                <w:szCs w:val="24"/>
              </w:rPr>
            </w:pPr>
            <w:r>
              <w:rPr>
                <w:szCs w:val="24"/>
              </w:rPr>
              <w:t xml:space="preserve">Базовый норматив финансовых затрат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88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13020,20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B01.044.002</w:t>
            </w:r>
            <w:r/>
          </w:p>
        </w:tc>
        <w:tc>
          <w:tcPr>
            <w:tcW w:w="5317" w:type="dxa"/>
            <w:textDirection w:val="lrTb"/>
            <w:noWrap w:val="false"/>
          </w:tcPr>
          <w:p>
            <w:pPr>
              <w:pStyle w:val="888"/>
            </w:pPr>
            <w:r>
              <w:t xml:space="preserve">Фельдшерская бригада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4723,10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B01.044.002.1</w:t>
            </w:r>
            <w:r/>
          </w:p>
        </w:tc>
        <w:tc>
          <w:tcPr>
            <w:tcW w:w="5317" w:type="dxa"/>
            <w:textDirection w:val="lrTb"/>
            <w:noWrap w:val="false"/>
          </w:tcPr>
          <w:p>
            <w:pPr>
              <w:pStyle w:val="888"/>
            </w:pPr>
            <w:r>
              <w:t xml:space="preserve">Фельдшерская бригада с проведением тромболитической терапии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59885,09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B01.044.001</w:t>
            </w:r>
            <w:r/>
          </w:p>
        </w:tc>
        <w:tc>
          <w:tcPr>
            <w:tcW w:w="5317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бригада (общепрофильная)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5694,27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B01.044.001.1</w:t>
            </w:r>
            <w:r/>
          </w:p>
        </w:tc>
        <w:tc>
          <w:tcPr>
            <w:tcW w:w="5317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бригада (общепрофильная) с проведением тромболитической терапии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59561,43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B01.044.003</w:t>
            </w:r>
            <w:r/>
          </w:p>
        </w:tc>
        <w:tc>
          <w:tcPr>
            <w:tcW w:w="5317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7172,92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B01.044.003.1</w:t>
            </w:r>
            <w:r/>
          </w:p>
        </w:tc>
        <w:tc>
          <w:tcPr>
            <w:tcW w:w="5317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 с проведением тромболитической терапии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62631,08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8.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B01.044.005</w:t>
            </w:r>
            <w:r/>
          </w:p>
        </w:tc>
        <w:tc>
          <w:tcPr>
            <w:tcW w:w="5317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 в составе травматологического центра I уровня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7804,86</w:t>
            </w:r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9.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B01.044.004</w:t>
            </w:r>
            <w:r/>
          </w:p>
        </w:tc>
        <w:tc>
          <w:tcPr>
            <w:tcW w:w="5317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педиатрическая</w:t>
            </w:r>
            <w:r/>
          </w:p>
        </w:tc>
        <w:tc>
          <w:tcPr>
            <w:tcW w:w="2188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5715,81</w:t>
            </w:r>
            <w:r/>
          </w:p>
        </w:tc>
      </w:tr>
    </w:tbl>
    <w:p>
      <w:pPr>
        <w:pStyle w:val="888"/>
        <w:jc w:val="both"/>
      </w:pPr>
      <w:r/>
      <w:r/>
    </w:p>
    <w:p>
      <w:pPr>
        <w:pStyle w:val="888"/>
        <w:jc w:val="right"/>
        <w:rPr>
          <w:sz w:val="28"/>
          <w:szCs w:val="28"/>
        </w:rPr>
        <w:outlineLvl w:val="1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right"/>
        <w:rPr>
          <w:sz w:val="28"/>
          <w:szCs w:val="28"/>
        </w:rPr>
        <w:outlineLvl w:val="1"/>
      </w:pPr>
      <w:r/>
      <w:bookmarkStart w:id="0" w:name="_GoBack"/>
      <w:r/>
      <w:bookmarkEnd w:id="0"/>
      <w:r>
        <w:rPr>
          <w:sz w:val="28"/>
          <w:szCs w:val="28"/>
        </w:rPr>
        <w:t xml:space="preserve">Таблица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both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9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вызова на оплату скорой медицинской помощи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медицинской эвакуации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(рублей)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8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2098"/>
        <w:gridCol w:w="5364"/>
        <w:gridCol w:w="2126"/>
        <w:gridCol w:w="567"/>
      </w:tblGrid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№ стр.</w:t>
            </w:r>
            <w:r/>
          </w:p>
        </w:tc>
        <w:tc>
          <w:tcPr>
            <w:tcW w:w="2098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Код услуги в системе ОМС</w:t>
            </w:r>
            <w:r/>
          </w:p>
        </w:tc>
        <w:tc>
          <w:tcPr>
            <w:tcBorders>
              <w:right w:val="single" w:color="auto" w:sz="4" w:space="0"/>
            </w:tcBorders>
            <w:tcW w:w="5364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Состав и профиль бригады скорой медицинской помощи, длина маршрута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Тариф вызова скорой медицинской помощи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888"/>
            </w:pPr>
            <w:r/>
            <w:r/>
          </w:p>
        </w:tc>
        <w:tc>
          <w:tcPr>
            <w:tcW w:w="2098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1</w:t>
            </w:r>
            <w:r/>
          </w:p>
        </w:tc>
        <w:tc>
          <w:tcPr>
            <w:tcBorders>
              <w:right w:val="single" w:color="auto" w:sz="4" w:space="0"/>
            </w:tcBorders>
            <w:tcW w:w="5364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center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/>
            <w:r/>
          </w:p>
        </w:tc>
        <w:tc>
          <w:tcPr>
            <w:tcBorders>
              <w:right w:val="single" w:color="auto" w:sz="4" w:space="0"/>
            </w:tcBorders>
            <w:tcW w:w="5364" w:type="dxa"/>
            <w:textDirection w:val="lrTb"/>
            <w:noWrap w:val="false"/>
          </w:tcPr>
          <w:p>
            <w:pPr>
              <w:pStyle w:val="888"/>
              <w:rPr>
                <w:szCs w:val="24"/>
              </w:rPr>
            </w:pPr>
            <w:r>
              <w:rPr>
                <w:szCs w:val="24"/>
              </w:rPr>
              <w:t xml:space="preserve">Базовый норматив финансовых затрат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88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13020,20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righ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1.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B17.044.003.001</w:t>
            </w:r>
            <w:r/>
          </w:p>
        </w:tc>
        <w:tc>
          <w:tcPr>
            <w:tcBorders>
              <w:right w:val="single" w:color="auto" w:sz="4" w:space="0"/>
            </w:tcBorders>
            <w:tcW w:w="5364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 (не более 100 км)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9953,28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2.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B17.044.003.002</w:t>
            </w:r>
            <w:r/>
          </w:p>
        </w:tc>
        <w:tc>
          <w:tcPr>
            <w:tcBorders>
              <w:right w:val="single" w:color="auto" w:sz="4" w:space="0"/>
            </w:tcBorders>
            <w:tcW w:w="5364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 (более 100 км, и не более 200 км)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13668,22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3.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B17.044.003.003</w:t>
            </w:r>
            <w:r/>
          </w:p>
        </w:tc>
        <w:tc>
          <w:tcPr>
            <w:tcBorders>
              <w:right w:val="single" w:color="auto" w:sz="4" w:space="0"/>
            </w:tcBorders>
            <w:tcW w:w="5364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 (более 200 км, и не более 300 км)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22761,20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4.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B17.044.003.004</w:t>
            </w:r>
            <w:r/>
          </w:p>
        </w:tc>
        <w:tc>
          <w:tcPr>
            <w:tcBorders>
              <w:right w:val="single" w:color="auto" w:sz="4" w:space="0"/>
            </w:tcBorders>
            <w:tcW w:w="5364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 (более 300 км, и не более 400 км)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28872,88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5.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B17.044.003.005</w:t>
            </w:r>
            <w:r/>
          </w:p>
        </w:tc>
        <w:tc>
          <w:tcPr>
            <w:tcBorders>
              <w:right w:val="single" w:color="auto" w:sz="4" w:space="0"/>
            </w:tcBorders>
            <w:tcW w:w="5364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 (более 400 км, и не более 500 км)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33621,76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6.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B17.044.003.006</w:t>
            </w:r>
            <w:r/>
          </w:p>
        </w:tc>
        <w:tc>
          <w:tcPr>
            <w:tcBorders>
              <w:right w:val="single" w:color="auto" w:sz="4" w:space="0"/>
            </w:tcBorders>
            <w:tcW w:w="5364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 (более 500 км, и не более 600 км)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41858,18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right"/>
            </w:pPr>
            <w:r/>
            <w:r/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888"/>
              <w:jc w:val="center"/>
            </w:pPr>
            <w:r>
              <w:t xml:space="preserve">7.</w:t>
            </w:r>
            <w:r/>
          </w:p>
        </w:tc>
        <w:tc>
          <w:tcPr>
            <w:tcW w:w="2098" w:type="dxa"/>
            <w:textDirection w:val="lrTb"/>
            <w:noWrap w:val="false"/>
          </w:tcPr>
          <w:p>
            <w:pPr>
              <w:pStyle w:val="888"/>
            </w:pPr>
            <w:r>
              <w:t xml:space="preserve">B17.044.003.007</w:t>
            </w:r>
            <w:r/>
          </w:p>
        </w:tc>
        <w:tc>
          <w:tcPr>
            <w:tcBorders>
              <w:right w:val="single" w:color="auto" w:sz="4" w:space="0"/>
            </w:tcBorders>
            <w:tcW w:w="5364" w:type="dxa"/>
            <w:textDirection w:val="lrTb"/>
            <w:noWrap w:val="false"/>
          </w:tcPr>
          <w:p>
            <w:pPr>
              <w:pStyle w:val="888"/>
            </w:pPr>
            <w:r>
              <w:t xml:space="preserve">Врачебная специализированная бригада реанимационная (интенсивной терапии) (более 600 км)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88"/>
              <w:jc w:val="right"/>
            </w:pPr>
            <w:r>
              <w:t xml:space="preserve">52310,52</w:t>
            </w:r>
            <w:r/>
          </w:p>
        </w:tc>
        <w:tc>
          <w:tcPr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8"/>
              <w:jc w:val="right"/>
            </w:pPr>
            <w:r/>
            <w:r/>
          </w:p>
          <w:p>
            <w:pPr>
              <w:pStyle w:val="888"/>
              <w:jc w:val="right"/>
            </w:pPr>
            <w:r/>
            <w:r/>
          </w:p>
          <w:p>
            <w:pPr>
              <w:pStyle w:val="888"/>
              <w:jc w:val="right"/>
            </w:pPr>
            <w:r>
              <w:t xml:space="preserve">».</w:t>
            </w:r>
            <w:r/>
          </w:p>
        </w:tc>
      </w:tr>
    </w:tbl>
    <w:p>
      <w:pPr>
        <w:pStyle w:val="888"/>
      </w:pPr>
      <w:r/>
      <w:hyperlink r:id="rId9" w:tooltip="&quot;Тарифное соглашение в сфере обязательного медицинского страхования на территории Ставропольского края&quot; (Заключено в г. Ставрополе 24.01.2025) (ред. от 27.10.2025) (вместе с &quot;Перечнем основных терминов, понятий и сокращений, применяемых в настоящем тарифном со" w:history="1">
        <w:r>
          <w:rPr>
            <w:i/>
            <w:color w:val="0000ff"/>
          </w:rPr>
          <w:br/>
        </w:r>
      </w:hyperlink>
      <w:r/>
      <w:r/>
    </w:p>
    <w:sectPr>
      <w:headerReference w:type="default" r:id="rId8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Style w:val="888"/>
      </w:pPr>
      <w:r>
        <w:separator/>
      </w:r>
      <w:r/>
    </w:p>
  </w:endnote>
  <w:endnote w:type="continuationSeparator" w:id="0">
    <w:p>
      <w:pPr>
        <w:pStyle w:val="888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Style w:val="888"/>
      </w:pPr>
      <w:r>
        <w:separator/>
      </w:r>
      <w:r/>
    </w:p>
  </w:footnote>
  <w:footnote w:type="continuationSeparator" w:id="0">
    <w:p>
      <w:pPr>
        <w:pStyle w:val="888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327086311"/>
      <w:docPartObj>
        <w:docPartGallery w:val="Page Numbers (Top of Page)"/>
        <w:docPartUnique w:val="true"/>
      </w:docPartObj>
      <w:rPr/>
    </w:sdtPr>
    <w:sdtContent>
      <w:p>
        <w:pPr>
          <w:pStyle w:val="738"/>
          <w:jc w:val="center"/>
        </w:pPr>
        <w:r/>
        <w:r/>
      </w:p>
      <w:p>
        <w:pPr>
          <w:pStyle w:val="738"/>
          <w:jc w:val="center"/>
        </w:pPr>
        <w:r/>
        <w:r/>
      </w:p>
      <w:p>
        <w:pPr>
          <w:pStyle w:val="738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73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8" w:default="1">
    <w:name w:val="Normal"/>
    <w:qFormat/>
  </w:style>
  <w:style w:type="paragraph" w:styleId="689">
    <w:name w:val="Heading 1"/>
    <w:basedOn w:val="688"/>
    <w:next w:val="688"/>
    <w:link w:val="71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0">
    <w:name w:val="Heading 2"/>
    <w:basedOn w:val="688"/>
    <w:next w:val="688"/>
    <w:link w:val="72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1">
    <w:name w:val="Heading 3"/>
    <w:basedOn w:val="688"/>
    <w:next w:val="688"/>
    <w:link w:val="7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2">
    <w:name w:val="Heading 4"/>
    <w:basedOn w:val="688"/>
    <w:next w:val="688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3">
    <w:name w:val="Heading 5"/>
    <w:basedOn w:val="688"/>
    <w:next w:val="688"/>
    <w:link w:val="72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688"/>
    <w:next w:val="688"/>
    <w:link w:val="7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5">
    <w:name w:val="Heading 7"/>
    <w:basedOn w:val="688"/>
    <w:next w:val="688"/>
    <w:link w:val="7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688"/>
    <w:next w:val="688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7">
    <w:name w:val="Heading 9"/>
    <w:basedOn w:val="688"/>
    <w:next w:val="688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 w:default="1">
    <w:name w:val="Default Paragraph Font"/>
    <w:uiPriority w:val="1"/>
    <w:semiHidden/>
    <w:unhideWhenUsed/>
  </w:style>
  <w:style w:type="table" w:styleId="6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0" w:default="1">
    <w:name w:val="No List"/>
    <w:uiPriority w:val="99"/>
    <w:semiHidden/>
    <w:unhideWhenUsed/>
  </w:style>
  <w:style w:type="character" w:styleId="701" w:customStyle="1">
    <w:name w:val="Heading 1 Char"/>
    <w:basedOn w:val="698"/>
    <w:uiPriority w:val="9"/>
    <w:rPr>
      <w:rFonts w:ascii="Arial" w:hAnsi="Arial" w:eastAsia="Arial" w:cs="Arial"/>
      <w:sz w:val="40"/>
      <w:szCs w:val="40"/>
    </w:rPr>
  </w:style>
  <w:style w:type="character" w:styleId="702" w:customStyle="1">
    <w:name w:val="Heading 2 Char"/>
    <w:basedOn w:val="698"/>
    <w:uiPriority w:val="9"/>
    <w:rPr>
      <w:rFonts w:ascii="Arial" w:hAnsi="Arial" w:eastAsia="Arial" w:cs="Arial"/>
      <w:sz w:val="34"/>
    </w:rPr>
  </w:style>
  <w:style w:type="character" w:styleId="703" w:customStyle="1">
    <w:name w:val="Heading 3 Char"/>
    <w:basedOn w:val="698"/>
    <w:uiPriority w:val="9"/>
    <w:rPr>
      <w:rFonts w:ascii="Arial" w:hAnsi="Arial" w:eastAsia="Arial" w:cs="Arial"/>
      <w:sz w:val="30"/>
      <w:szCs w:val="30"/>
    </w:rPr>
  </w:style>
  <w:style w:type="character" w:styleId="704" w:customStyle="1">
    <w:name w:val="Heading 4 Char"/>
    <w:basedOn w:val="698"/>
    <w:uiPriority w:val="9"/>
    <w:rPr>
      <w:rFonts w:ascii="Arial" w:hAnsi="Arial" w:eastAsia="Arial" w:cs="Arial"/>
      <w:b/>
      <w:bCs/>
      <w:sz w:val="26"/>
      <w:szCs w:val="26"/>
    </w:rPr>
  </w:style>
  <w:style w:type="character" w:styleId="705" w:customStyle="1">
    <w:name w:val="Heading 5 Char"/>
    <w:basedOn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06" w:customStyle="1">
    <w:name w:val="Heading 6 Char"/>
    <w:basedOn w:val="698"/>
    <w:uiPriority w:val="9"/>
    <w:rPr>
      <w:rFonts w:ascii="Arial" w:hAnsi="Arial" w:eastAsia="Arial" w:cs="Arial"/>
      <w:b/>
      <w:bCs/>
      <w:sz w:val="22"/>
      <w:szCs w:val="22"/>
    </w:rPr>
  </w:style>
  <w:style w:type="character" w:styleId="707" w:customStyle="1">
    <w:name w:val="Heading 7 Char"/>
    <w:basedOn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8" w:customStyle="1">
    <w:name w:val="Heading 8 Char"/>
    <w:basedOn w:val="698"/>
    <w:uiPriority w:val="9"/>
    <w:rPr>
      <w:rFonts w:ascii="Arial" w:hAnsi="Arial" w:eastAsia="Arial" w:cs="Arial"/>
      <w:i/>
      <w:iCs/>
      <w:sz w:val="22"/>
      <w:szCs w:val="22"/>
    </w:rPr>
  </w:style>
  <w:style w:type="character" w:styleId="709" w:customStyle="1">
    <w:name w:val="Heading 9 Char"/>
    <w:basedOn w:val="698"/>
    <w:uiPriority w:val="9"/>
    <w:rPr>
      <w:rFonts w:ascii="Arial" w:hAnsi="Arial" w:eastAsia="Arial" w:cs="Arial"/>
      <w:i/>
      <w:iCs/>
      <w:sz w:val="21"/>
      <w:szCs w:val="21"/>
    </w:rPr>
  </w:style>
  <w:style w:type="character" w:styleId="710" w:customStyle="1">
    <w:name w:val="Title Char"/>
    <w:basedOn w:val="698"/>
    <w:uiPriority w:val="10"/>
    <w:rPr>
      <w:sz w:val="48"/>
      <w:szCs w:val="48"/>
    </w:rPr>
  </w:style>
  <w:style w:type="character" w:styleId="711" w:customStyle="1">
    <w:name w:val="Subtitle Char"/>
    <w:basedOn w:val="698"/>
    <w:uiPriority w:val="11"/>
    <w:rPr>
      <w:sz w:val="24"/>
      <w:szCs w:val="24"/>
    </w:rPr>
  </w:style>
  <w:style w:type="character" w:styleId="712" w:customStyle="1">
    <w:name w:val="Quote Char"/>
    <w:uiPriority w:val="29"/>
    <w:rPr>
      <w:i/>
    </w:rPr>
  </w:style>
  <w:style w:type="character" w:styleId="713" w:customStyle="1">
    <w:name w:val="Intense Quote Char"/>
    <w:uiPriority w:val="30"/>
    <w:rPr>
      <w:i/>
    </w:rPr>
  </w:style>
  <w:style w:type="character" w:styleId="714" w:customStyle="1">
    <w:name w:val="Header Char"/>
    <w:basedOn w:val="698"/>
    <w:uiPriority w:val="99"/>
  </w:style>
  <w:style w:type="character" w:styleId="715" w:customStyle="1">
    <w:name w:val="Footer Char"/>
    <w:basedOn w:val="698"/>
    <w:uiPriority w:val="99"/>
  </w:style>
  <w:style w:type="character" w:styleId="716" w:customStyle="1">
    <w:name w:val="Caption Char"/>
    <w:basedOn w:val="698"/>
    <w:uiPriority w:val="35"/>
    <w:rPr>
      <w:b/>
      <w:bCs/>
      <w:color w:val="4f81bd" w:themeColor="accent1"/>
      <w:sz w:val="18"/>
      <w:szCs w:val="18"/>
    </w:rPr>
  </w:style>
  <w:style w:type="character" w:styleId="717" w:customStyle="1">
    <w:name w:val="Footnote Text Char"/>
    <w:uiPriority w:val="99"/>
    <w:rPr>
      <w:sz w:val="18"/>
    </w:rPr>
  </w:style>
  <w:style w:type="character" w:styleId="718" w:customStyle="1">
    <w:name w:val="Endnote Text Char"/>
    <w:uiPriority w:val="99"/>
    <w:rPr>
      <w:sz w:val="20"/>
    </w:rPr>
  </w:style>
  <w:style w:type="character" w:styleId="719" w:customStyle="1">
    <w:name w:val="Заголовок 1 Знак"/>
    <w:link w:val="689"/>
    <w:uiPriority w:val="9"/>
    <w:rPr>
      <w:rFonts w:ascii="Arial" w:hAnsi="Arial" w:eastAsia="Arial" w:cs="Arial"/>
      <w:sz w:val="40"/>
      <w:szCs w:val="40"/>
    </w:rPr>
  </w:style>
  <w:style w:type="character" w:styleId="720" w:customStyle="1">
    <w:name w:val="Заголовок 2 Знак"/>
    <w:link w:val="690"/>
    <w:uiPriority w:val="9"/>
    <w:rPr>
      <w:rFonts w:ascii="Arial" w:hAnsi="Arial" w:eastAsia="Arial" w:cs="Arial"/>
      <w:sz w:val="34"/>
    </w:rPr>
  </w:style>
  <w:style w:type="character" w:styleId="721" w:customStyle="1">
    <w:name w:val="Заголовок 3 Знак"/>
    <w:link w:val="691"/>
    <w:uiPriority w:val="9"/>
    <w:rPr>
      <w:rFonts w:ascii="Arial" w:hAnsi="Arial" w:eastAsia="Arial" w:cs="Arial"/>
      <w:sz w:val="30"/>
      <w:szCs w:val="30"/>
    </w:rPr>
  </w:style>
  <w:style w:type="character" w:styleId="722" w:customStyle="1">
    <w:name w:val="Заголовок 4 Знак"/>
    <w:link w:val="692"/>
    <w:uiPriority w:val="9"/>
    <w:rPr>
      <w:rFonts w:ascii="Arial" w:hAnsi="Arial" w:eastAsia="Arial" w:cs="Arial"/>
      <w:b/>
      <w:bCs/>
      <w:sz w:val="26"/>
      <w:szCs w:val="26"/>
    </w:rPr>
  </w:style>
  <w:style w:type="character" w:styleId="723" w:customStyle="1">
    <w:name w:val="Заголовок 5 Знак"/>
    <w:link w:val="693"/>
    <w:uiPriority w:val="9"/>
    <w:rPr>
      <w:rFonts w:ascii="Arial" w:hAnsi="Arial" w:eastAsia="Arial" w:cs="Arial"/>
      <w:b/>
      <w:bCs/>
      <w:sz w:val="24"/>
      <w:szCs w:val="24"/>
    </w:rPr>
  </w:style>
  <w:style w:type="character" w:styleId="724" w:customStyle="1">
    <w:name w:val="Заголовок 6 Знак"/>
    <w:link w:val="694"/>
    <w:uiPriority w:val="9"/>
    <w:rPr>
      <w:rFonts w:ascii="Arial" w:hAnsi="Arial" w:eastAsia="Arial" w:cs="Arial"/>
      <w:b/>
      <w:bCs/>
      <w:sz w:val="22"/>
      <w:szCs w:val="22"/>
    </w:rPr>
  </w:style>
  <w:style w:type="character" w:styleId="725" w:customStyle="1">
    <w:name w:val="Заголовок 7 Знак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6" w:customStyle="1">
    <w:name w:val="Заголовок 8 Знак"/>
    <w:link w:val="696"/>
    <w:uiPriority w:val="9"/>
    <w:rPr>
      <w:rFonts w:ascii="Arial" w:hAnsi="Arial" w:eastAsia="Arial" w:cs="Arial"/>
      <w:i/>
      <w:iCs/>
      <w:sz w:val="22"/>
      <w:szCs w:val="22"/>
    </w:rPr>
  </w:style>
  <w:style w:type="character" w:styleId="727" w:customStyle="1">
    <w:name w:val="Заголовок 9 Знак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728">
    <w:name w:val="List Paragraph"/>
    <w:basedOn w:val="688"/>
    <w:uiPriority w:val="34"/>
    <w:qFormat/>
    <w:pPr>
      <w:contextualSpacing/>
      <w:ind w:left="720"/>
    </w:pPr>
  </w:style>
  <w:style w:type="paragraph" w:styleId="729">
    <w:name w:val="No Spacing"/>
    <w:uiPriority w:val="1"/>
    <w:qFormat/>
  </w:style>
  <w:style w:type="paragraph" w:styleId="730">
    <w:name w:val="Title"/>
    <w:basedOn w:val="688"/>
    <w:next w:val="688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 w:customStyle="1">
    <w:name w:val="Название Знак"/>
    <w:link w:val="730"/>
    <w:uiPriority w:val="10"/>
    <w:rPr>
      <w:sz w:val="48"/>
      <w:szCs w:val="48"/>
    </w:rPr>
  </w:style>
  <w:style w:type="paragraph" w:styleId="732">
    <w:name w:val="Subtitle"/>
    <w:basedOn w:val="688"/>
    <w:next w:val="688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 w:customStyle="1">
    <w:name w:val="Подзаголовок Знак"/>
    <w:link w:val="732"/>
    <w:uiPriority w:val="11"/>
    <w:rPr>
      <w:sz w:val="24"/>
      <w:szCs w:val="24"/>
    </w:rPr>
  </w:style>
  <w:style w:type="paragraph" w:styleId="734">
    <w:name w:val="Quote"/>
    <w:basedOn w:val="688"/>
    <w:next w:val="688"/>
    <w:link w:val="735"/>
    <w:uiPriority w:val="29"/>
    <w:qFormat/>
    <w:pPr>
      <w:ind w:left="720" w:right="720"/>
    </w:pPr>
    <w:rPr>
      <w:i/>
    </w:rPr>
  </w:style>
  <w:style w:type="character" w:styleId="735" w:customStyle="1">
    <w:name w:val="Цитата 2 Знак"/>
    <w:link w:val="734"/>
    <w:uiPriority w:val="29"/>
    <w:rPr>
      <w:i/>
    </w:rPr>
  </w:style>
  <w:style w:type="paragraph" w:styleId="736">
    <w:name w:val="Intense Quote"/>
    <w:basedOn w:val="688"/>
    <w:next w:val="688"/>
    <w:link w:val="73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 w:customStyle="1">
    <w:name w:val="Выделенная цитата Знак"/>
    <w:link w:val="736"/>
    <w:uiPriority w:val="30"/>
    <w:rPr>
      <w:i/>
    </w:rPr>
  </w:style>
  <w:style w:type="paragraph" w:styleId="738">
    <w:name w:val="Header"/>
    <w:basedOn w:val="688"/>
    <w:link w:val="73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9" w:customStyle="1">
    <w:name w:val="Верхний колонтитул Знак"/>
    <w:link w:val="738"/>
    <w:uiPriority w:val="99"/>
  </w:style>
  <w:style w:type="paragraph" w:styleId="740">
    <w:name w:val="Footer"/>
    <w:basedOn w:val="688"/>
    <w:link w:val="74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41" w:customStyle="1">
    <w:name w:val="Нижний колонтитул Знак"/>
    <w:link w:val="740"/>
    <w:uiPriority w:val="99"/>
  </w:style>
  <w:style w:type="paragraph" w:styleId="742">
    <w:name w:val="Caption"/>
    <w:basedOn w:val="688"/>
    <w:next w:val="688"/>
    <w:link w:val="7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3" w:customStyle="1">
    <w:name w:val="Название объекта Знак"/>
    <w:link w:val="742"/>
    <w:uiPriority w:val="35"/>
    <w:rPr>
      <w:b/>
      <w:bCs/>
      <w:color w:val="4f81bd" w:themeColor="accent1"/>
      <w:sz w:val="18"/>
      <w:szCs w:val="18"/>
    </w:rPr>
  </w:style>
  <w:style w:type="table" w:styleId="744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9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9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3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4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2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7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8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9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0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1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2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0">
    <w:name w:val="Hyperlink"/>
    <w:uiPriority w:val="99"/>
    <w:unhideWhenUsed/>
    <w:rPr>
      <w:color w:val="0000ff" w:themeColor="hyperlink"/>
      <w:u w:val="single"/>
    </w:rPr>
  </w:style>
  <w:style w:type="paragraph" w:styleId="871">
    <w:name w:val="footnote text"/>
    <w:basedOn w:val="688"/>
    <w:link w:val="872"/>
    <w:uiPriority w:val="99"/>
    <w:semiHidden/>
    <w:unhideWhenUsed/>
    <w:pPr>
      <w:spacing w:after="40"/>
    </w:pPr>
    <w:rPr>
      <w:sz w:val="18"/>
    </w:rPr>
  </w:style>
  <w:style w:type="character" w:styleId="872" w:customStyle="1">
    <w:name w:val="Текст сноски Знак"/>
    <w:link w:val="871"/>
    <w:uiPriority w:val="99"/>
    <w:rPr>
      <w:sz w:val="18"/>
    </w:rPr>
  </w:style>
  <w:style w:type="character" w:styleId="873">
    <w:name w:val="footnote reference"/>
    <w:uiPriority w:val="99"/>
    <w:unhideWhenUsed/>
    <w:rPr>
      <w:vertAlign w:val="superscript"/>
    </w:rPr>
  </w:style>
  <w:style w:type="paragraph" w:styleId="874">
    <w:name w:val="endnote text"/>
    <w:basedOn w:val="688"/>
    <w:link w:val="875"/>
    <w:uiPriority w:val="99"/>
    <w:semiHidden/>
    <w:unhideWhenUsed/>
  </w:style>
  <w:style w:type="character" w:styleId="875" w:customStyle="1">
    <w:name w:val="Текст концевой сноски Знак"/>
    <w:link w:val="874"/>
    <w:uiPriority w:val="99"/>
    <w:rPr>
      <w:sz w:val="20"/>
    </w:rPr>
  </w:style>
  <w:style w:type="character" w:styleId="876">
    <w:name w:val="endnote reference"/>
    <w:uiPriority w:val="99"/>
    <w:semiHidden/>
    <w:unhideWhenUsed/>
    <w:rPr>
      <w:vertAlign w:val="superscript"/>
    </w:rPr>
  </w:style>
  <w:style w:type="paragraph" w:styleId="877">
    <w:name w:val="toc 1"/>
    <w:basedOn w:val="688"/>
    <w:next w:val="688"/>
    <w:uiPriority w:val="39"/>
    <w:unhideWhenUsed/>
    <w:pPr>
      <w:spacing w:after="57"/>
    </w:pPr>
  </w:style>
  <w:style w:type="paragraph" w:styleId="878">
    <w:name w:val="toc 2"/>
    <w:basedOn w:val="688"/>
    <w:next w:val="688"/>
    <w:uiPriority w:val="39"/>
    <w:unhideWhenUsed/>
    <w:pPr>
      <w:ind w:left="283"/>
      <w:spacing w:after="57"/>
    </w:pPr>
  </w:style>
  <w:style w:type="paragraph" w:styleId="879">
    <w:name w:val="toc 3"/>
    <w:basedOn w:val="688"/>
    <w:next w:val="688"/>
    <w:uiPriority w:val="39"/>
    <w:unhideWhenUsed/>
    <w:pPr>
      <w:ind w:left="567"/>
      <w:spacing w:after="57"/>
    </w:pPr>
  </w:style>
  <w:style w:type="paragraph" w:styleId="880">
    <w:name w:val="toc 4"/>
    <w:basedOn w:val="688"/>
    <w:next w:val="688"/>
    <w:uiPriority w:val="39"/>
    <w:unhideWhenUsed/>
    <w:pPr>
      <w:ind w:left="850"/>
      <w:spacing w:after="57"/>
    </w:pPr>
  </w:style>
  <w:style w:type="paragraph" w:styleId="881">
    <w:name w:val="toc 5"/>
    <w:basedOn w:val="688"/>
    <w:next w:val="688"/>
    <w:uiPriority w:val="39"/>
    <w:unhideWhenUsed/>
    <w:pPr>
      <w:ind w:left="1134"/>
      <w:spacing w:after="57"/>
    </w:pPr>
  </w:style>
  <w:style w:type="paragraph" w:styleId="882">
    <w:name w:val="toc 6"/>
    <w:basedOn w:val="688"/>
    <w:next w:val="688"/>
    <w:uiPriority w:val="39"/>
    <w:unhideWhenUsed/>
    <w:pPr>
      <w:ind w:left="1417"/>
      <w:spacing w:after="57"/>
    </w:pPr>
  </w:style>
  <w:style w:type="paragraph" w:styleId="883">
    <w:name w:val="toc 7"/>
    <w:basedOn w:val="688"/>
    <w:next w:val="688"/>
    <w:uiPriority w:val="39"/>
    <w:unhideWhenUsed/>
    <w:pPr>
      <w:ind w:left="1701"/>
      <w:spacing w:after="57"/>
    </w:pPr>
  </w:style>
  <w:style w:type="paragraph" w:styleId="884">
    <w:name w:val="toc 8"/>
    <w:basedOn w:val="688"/>
    <w:next w:val="688"/>
    <w:uiPriority w:val="39"/>
    <w:unhideWhenUsed/>
    <w:pPr>
      <w:ind w:left="1984"/>
      <w:spacing w:after="57"/>
    </w:pPr>
  </w:style>
  <w:style w:type="paragraph" w:styleId="885">
    <w:name w:val="toc 9"/>
    <w:basedOn w:val="688"/>
    <w:next w:val="688"/>
    <w:uiPriority w:val="39"/>
    <w:unhideWhenUsed/>
    <w:pPr>
      <w:ind w:left="2268"/>
      <w:spacing w:after="57"/>
    </w:pPr>
  </w:style>
  <w:style w:type="paragraph" w:styleId="886">
    <w:name w:val="TOC Heading"/>
    <w:uiPriority w:val="39"/>
    <w:unhideWhenUsed/>
  </w:style>
  <w:style w:type="paragraph" w:styleId="887">
    <w:name w:val="table of figures"/>
    <w:basedOn w:val="688"/>
    <w:next w:val="688"/>
    <w:uiPriority w:val="99"/>
    <w:unhideWhenUsed/>
  </w:style>
  <w:style w:type="paragraph" w:styleId="888" w:customStyle="1">
    <w:name w:val="ConsPlusNormal"/>
    <w:pPr>
      <w:widowControl w:val="off"/>
    </w:pPr>
    <w:rPr>
      <w:sz w:val="24"/>
    </w:rPr>
  </w:style>
  <w:style w:type="paragraph" w:styleId="889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90" w:customStyle="1">
    <w:name w:val="ConsPlusTitle"/>
    <w:uiPriority w:val="99"/>
    <w:pPr>
      <w:widowControl w:val="off"/>
    </w:pPr>
    <w:rPr>
      <w:rFonts w:ascii="Arial" w:hAnsi="Arial" w:cs="Arial"/>
      <w:b/>
      <w:sz w:val="24"/>
    </w:rPr>
  </w:style>
  <w:style w:type="paragraph" w:styleId="891" w:customStyle="1">
    <w:name w:val="ConsPlusCell"/>
    <w:pPr>
      <w:widowControl w:val="off"/>
    </w:pPr>
    <w:rPr>
      <w:rFonts w:ascii="Courier New" w:hAnsi="Courier New" w:cs="Courier New"/>
    </w:rPr>
  </w:style>
  <w:style w:type="paragraph" w:styleId="892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893" w:customStyle="1">
    <w:name w:val="ConsPlusTitlePage"/>
    <w:pPr>
      <w:widowControl w:val="off"/>
    </w:pPr>
    <w:rPr>
      <w:rFonts w:ascii="Tahoma" w:hAnsi="Tahoma" w:cs="Tahoma"/>
    </w:rPr>
  </w:style>
  <w:style w:type="paragraph" w:styleId="894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895" w:customStyle="1">
    <w:name w:val="ConsPlusTextList"/>
    <w:pPr>
      <w:widowControl w:val="off"/>
    </w:pPr>
    <w:rPr>
      <w:sz w:val="24"/>
    </w:rPr>
  </w:style>
  <w:style w:type="paragraph" w:styleId="896" w:customStyle="1">
    <w:name w:val="ConsPlusTextList"/>
    <w:pPr>
      <w:widowControl w:val="off"/>
    </w:pPr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https://login.consultant.ru/link/?req=doc&amp;base=RLAW077&amp;n=246852&amp;date=02.12.2025&amp;dst=130945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4025.00.30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"Тарифное соглашение в сфере обязательного медицинского страхования на территории Ставропольского края"
(Заключено в г. Ставрополе 24.01.2025)
(ред. от 27.10.2025)
(вместе с "Перечнем основных терминов, понятий и сокращений, применяемых в настоящем тарифном соглашении", "Порядком применения показателей результативности деятельности медицинских организаций на территории Ставропольского края", "Перечнем медицинских организаций, оказывающих медицинскую помощь в амбулаторных условиях, имеющих прикрепившихся лиц</dc:title>
  <cp:lastModifiedBy>burkaleva</cp:lastModifiedBy>
  <cp:revision>9</cp:revision>
  <dcterms:created xsi:type="dcterms:W3CDTF">2025-12-02T08:59:00Z</dcterms:created>
  <dcterms:modified xsi:type="dcterms:W3CDTF">2026-03-27T11:14:22Z</dcterms:modified>
</cp:coreProperties>
</file>